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Calibri" w:hAnsi="Calibri" w:eastAsia="Calibri" w:cs="Calibri"/><w:sz w:val="22"/><w:szCs w:val="22"/><w:b/><w:bCs/></w:rPr><w:t xml:space="preserve">Kit fluxor de descarga directa TEMPOFLUX 1</w:t></w:r></w:p><w:p><w:pPr/><w:r><w:rPr><w:rFonts w:ascii="Calibri" w:hAnsi="Calibri" w:eastAsia="Calibri" w:cs="Calibri"/><w:sz w:val="22"/><w:szCs w:val="22"/></w:rPr><w:t xml:space="preserve">Fluxor de descarga directa temporizado inodoro</w:t></w:r></w:p><w:p><w:pPr/><w:r><w:rPr><w:rFonts w:ascii="Calibri" w:hAnsi="Calibri" w:eastAsia="Calibri" w:cs="Calibri"/><w:sz w:val="22"/><w:szCs w:val="22"/></w:rPr><w:t xml:space="preserve">Visto, tubo de  Ø 24/25, sin llave de corte</w:t></w:r></w:p><w:p/><w:p><w:pPr/><w:r><w:rPr><w:rFonts w:ascii="Calibri" w:hAnsi="Calibri" w:eastAsia="Calibri" w:cs="Calibri"/><w:sz w:val="22"/><w:szCs w:val="22"/></w:rPr><w:t xml:space="preserve">Referencia: </w:t></w:r><w:r><w:rPr><w:rFonts w:ascii="Calibri" w:hAnsi="Calibri" w:eastAsia="Calibri" w:cs="Calibri"/><w:color w:val="0088bc"/><w:sz w:val="22"/><w:szCs w:val="22"/><w:b/><w:bCs/></w:rPr><w:t xml:space="preserve">761025</w:t></w:r></w:p><w:p/><w:p/><w:p><w:pPr><w:spacing w:line="336" w:lineRule="auto"/></w:pPr><w:r><w:rPr><w:rFonts w:ascii="Calibri" w:hAnsi="Calibri" w:eastAsia="Calibri" w:cs="Calibri"/><w:sz w:val="22"/><w:szCs w:val="22"/><w:u w:val="single"/></w:rPr><w:t xml:space="preserve">Información de prescripción</w:t></w:r></w:p><w:p/><w:p><w:pPr><w:spacing w:line="288" w:lineRule="auto"/></w:pPr><w:r><w:rPr><w:rFonts w:ascii="Calibri" w:hAnsi="Calibri" w:eastAsia="Calibri" w:cs="Calibri"/><w:sz w:val="22"/><w:szCs w:val="22"/></w:rPr><w:t xml:space="preserve">Fluxor temporizado de descarga directa visto: conexión directa a la canalización. </w:t></w:r></w:p><w:p><w:pPr><w:spacing w:line="288" w:lineRule="auto"/></w:pPr><w:r><w:rPr><w:rFonts w:ascii="Calibri" w:hAnsi="Calibri" w:eastAsia="Calibri" w:cs="Calibri"/><w:sz w:val="22"/><w:szCs w:val="22"/></w:rPr><w:t xml:space="preserve">Instalación mural adosada.</w:t></w:r></w:p><w:p><w:pPr><w:spacing w:line="288" w:lineRule="auto"/></w:pPr><w:r><w:rPr><w:rFonts w:ascii="Calibri" w:hAnsi="Calibri" w:eastAsia="Calibri" w:cs="Calibri"/><w:sz w:val="22"/><w:szCs w:val="22"/></w:rPr><w:t xml:space="preserve">Pulsación suave.</w:t></w:r></w:p><w:p><w:pPr><w:spacing w:line="288" w:lineRule="auto"/></w:pPr><w:r><w:rPr><w:rFonts w:ascii="Calibri" w:hAnsi="Calibri" w:eastAsia="Calibri" w:cs="Calibri"/><w:sz w:val="22"/><w:szCs w:val="22"/></w:rPr><w:t xml:space="preserve">Temporización de ~7 segundos.</w:t></w:r></w:p><w:p><w:pPr><w:spacing w:line="288" w:lineRule="auto"/></w:pPr><w:r><w:rPr><w:rFonts w:ascii="Calibri" w:hAnsi="Calibri" w:eastAsia="Calibri" w:cs="Calibri"/><w:sz w:val="22"/><w:szCs w:val="22"/></w:rPr><w:t xml:space="preserve">Protección antisifónica.</w:t></w:r></w:p><w:p><w:pPr><w:spacing w:line="288" w:lineRule="auto"/></w:pPr><w:r><w:rPr><w:rFonts w:ascii="Calibri" w:hAnsi="Calibri" w:eastAsia="Calibri" w:cs="Calibri"/><w:sz w:val="22"/><w:szCs w:val="22"/></w:rPr><w:t xml:space="preserve">Cuerpo y pulsador de latón macizo cromado.</w:t></w:r></w:p><w:p><w:pPr><w:spacing w:line="288" w:lineRule="auto"/></w:pPr><w:r><w:rPr><w:rFonts w:ascii="Calibri" w:hAnsi="Calibri" w:eastAsia="Calibri" w:cs="Calibri"/><w:sz w:val="22"/><w:szCs w:val="22"/></w:rPr><w:t xml:space="preserve">Alimentación acodada M3/4".</w:t></w:r></w:p><w:p><w:pPr><w:spacing w:line="288" w:lineRule="auto"/></w:pPr><w:r><w:rPr><w:rFonts w:ascii="Calibri" w:hAnsi="Calibri" w:eastAsia="Calibri" w:cs="Calibri"/><w:sz w:val="22"/><w:szCs w:val="22"/></w:rPr><w:t xml:space="preserve">Con tubo de descarga Ø 25 y Ø 24 cromado (sustitución de modelos SCHELL & BINE 120000).</w:t></w:r></w:p><w:p><w:pPr><w:spacing w:line="288" w:lineRule="auto"/></w:pPr><w:r><w:rPr><w:rFonts w:ascii="Calibri" w:hAnsi="Calibri" w:eastAsia="Calibri" w:cs="Calibri"/><w:sz w:val="22"/><w:szCs w:val="22"/></w:rPr><w:t xml:space="preserve">Diámetro de alimentación: Ø 20 mm mínimo en cualquier punto del interior.</w:t></w:r></w:p><w:p><w:pPr><w:spacing w:line="288" w:lineRule="auto"/></w:pPr><w:r><w:rPr><w:rFonts w:ascii="Calibri" w:hAnsi="Calibri" w:eastAsia="Calibri" w:cs="Calibri"/><w:sz w:val="22"/><w:szCs w:val="22"/></w:rPr><w:t xml:space="preserve">Caudal de base: 1 l/seg a 1 bar dinámico.</w:t></w:r></w:p><w:p><w:pPr><w:spacing w:line="288" w:lineRule="auto"/></w:pPr><w:r><w:rPr><w:rFonts w:ascii="Calibri" w:hAnsi="Calibri" w:eastAsia="Calibri" w:cs="Calibri"/><w:sz w:val="22"/><w:szCs w:val="22"/></w:rPr><w:t xml:space="preserve">Compatible con el agua de lluvia. </w:t></w:r></w:p><w:p><w:pPr><w:spacing w:line="288" w:lineRule="auto"/></w:pPr><w:r><w:rPr><w:rFonts w:ascii="Calibri" w:hAnsi="Calibri" w:eastAsia="Calibri" w:cs="Calibri"/><w:sz w:val="22"/><w:szCs w:val="22"/></w:rPr><w:t xml:space="preserve">Adaptado para PMR.</w:t></w:r></w:p><w:p><w:pPr><w:spacing w:line="288" w:lineRule="auto"/></w:pPr><w:r><w:rPr><w:rFonts w:ascii="Calibri" w:hAnsi="Calibri" w:eastAsia="Calibri" w:cs="Calibri"/><w:sz w:val="22"/><w:szCs w:val="22"/></w:rPr><w:t xml:space="preserve">Garantía 30 años.</w:t></w:r></w:p><w:sectPr><w:headerReference w:type="default" r:id="rId7"/><w:pgSz w:orient="portrait" w:w="11905.511811023622" w:h="16837.79527559055"/><w:pgMar w:top="1200" w:right="1500" w:bottom="1000" w:left="145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2024-06-08T07:44:17+02:00</dcterms:created>
  <dcterms:modified xsi:type="dcterms:W3CDTF">2024-06-08T07:44:17+02:00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